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6CAC" w:rsidRPr="008B1F4F" w:rsidRDefault="001E6CAC" w:rsidP="008B1F4F">
      <w:pPr>
        <w:pStyle w:val="Rubrik2"/>
        <w:rPr>
          <w:i w:val="0"/>
          <w:sz w:val="32"/>
          <w:szCs w:val="32"/>
        </w:rPr>
      </w:pPr>
      <w:r w:rsidRPr="001E6CAC">
        <w:rPr>
          <w:i w:val="0"/>
          <w:sz w:val="32"/>
          <w:szCs w:val="32"/>
        </w:rPr>
        <w:t xml:space="preserve">Råd </w:t>
      </w:r>
      <w:r w:rsidR="00023619">
        <w:rPr>
          <w:i w:val="0"/>
          <w:sz w:val="32"/>
          <w:szCs w:val="32"/>
        </w:rPr>
        <w:t>vid</w:t>
      </w:r>
      <w:r w:rsidRPr="001E6CAC">
        <w:rPr>
          <w:i w:val="0"/>
          <w:sz w:val="32"/>
          <w:szCs w:val="32"/>
        </w:rPr>
        <w:t xml:space="preserve"> brist på </w:t>
      </w:r>
      <w:r>
        <w:rPr>
          <w:i w:val="0"/>
          <w:sz w:val="32"/>
          <w:szCs w:val="32"/>
        </w:rPr>
        <w:t>anestesi</w:t>
      </w:r>
      <w:r w:rsidR="00C00AD5">
        <w:rPr>
          <w:i w:val="0"/>
          <w:sz w:val="32"/>
          <w:szCs w:val="32"/>
        </w:rPr>
        <w:t>läke</w:t>
      </w:r>
      <w:r>
        <w:rPr>
          <w:i w:val="0"/>
          <w:sz w:val="32"/>
          <w:szCs w:val="32"/>
        </w:rPr>
        <w:t>medel</w:t>
      </w:r>
    </w:p>
    <w:p w:rsidR="00553067" w:rsidRDefault="00553067" w:rsidP="004A1272">
      <w:pPr>
        <w:pStyle w:val="Rubrik2"/>
      </w:pPr>
    </w:p>
    <w:p w:rsidR="00270C38" w:rsidRPr="004A1272" w:rsidRDefault="00553067" w:rsidP="004A1272">
      <w:pPr>
        <w:pStyle w:val="Rubrik2"/>
      </w:pPr>
      <w:r>
        <w:t>Bakgrund</w:t>
      </w:r>
    </w:p>
    <w:p w:rsidR="0089068B" w:rsidRDefault="004A1272" w:rsidP="004A1272">
      <w:r>
        <w:t xml:space="preserve">Intensivvård </w:t>
      </w:r>
      <w:r w:rsidR="00C00AD5">
        <w:t xml:space="preserve">av ett </w:t>
      </w:r>
      <w:r w:rsidR="00553067">
        <w:t xml:space="preserve">ökande </w:t>
      </w:r>
      <w:r w:rsidR="00C00AD5">
        <w:t xml:space="preserve">antal patienter med behov av ofta långvarig mekanisk ventilation till följd av svår infektion med </w:t>
      </w:r>
      <w:r>
        <w:t xml:space="preserve">COVID-19 </w:t>
      </w:r>
      <w:r w:rsidR="00C00AD5">
        <w:t xml:space="preserve">ökar förbrukningen av </w:t>
      </w:r>
      <w:r>
        <w:t>läkemedel</w:t>
      </w:r>
      <w:r w:rsidR="00C00AD5">
        <w:t xml:space="preserve"> för analgosedering och muskelrelaxation. B</w:t>
      </w:r>
      <w:r w:rsidR="0089068B">
        <w:t xml:space="preserve">rist </w:t>
      </w:r>
      <w:r>
        <w:t xml:space="preserve">på </w:t>
      </w:r>
      <w:r w:rsidR="00553067">
        <w:t>hypnotika</w:t>
      </w:r>
      <w:r w:rsidR="00C00AD5">
        <w:t xml:space="preserve"> (i första hand propofol), analgetika (i första hand remifentanil) och </w:t>
      </w:r>
      <w:r w:rsidR="0089068B">
        <w:t>muskelrelaxantia</w:t>
      </w:r>
      <w:r>
        <w:t xml:space="preserve"> </w:t>
      </w:r>
      <w:r w:rsidR="00C00AD5">
        <w:t xml:space="preserve">(i första hand rokuron) </w:t>
      </w:r>
      <w:r w:rsidR="0089068B">
        <w:t>kan alltså snabbt upp</w:t>
      </w:r>
      <w:r w:rsidR="00C00AD5">
        <w:t>komma</w:t>
      </w:r>
      <w:r w:rsidR="0089068B">
        <w:t xml:space="preserve"> </w:t>
      </w:r>
      <w:r w:rsidR="00C00AD5">
        <w:t xml:space="preserve">och </w:t>
      </w:r>
      <w:r w:rsidR="00255F4D">
        <w:t>även påverka</w:t>
      </w:r>
      <w:r w:rsidR="0089068B">
        <w:t xml:space="preserve"> anestesiverksamheten.</w:t>
      </w:r>
      <w:r w:rsidR="008E1452">
        <w:t xml:space="preserve"> </w:t>
      </w:r>
      <w:r w:rsidR="00C00AD5">
        <w:t>Sådana l</w:t>
      </w:r>
      <w:r w:rsidR="008E1452">
        <w:t>äkemedel med nära eller nyss genomgånget bäst</w:t>
      </w:r>
      <w:r w:rsidR="00C00AD5">
        <w:t>-</w:t>
      </w:r>
      <w:r w:rsidR="008E1452">
        <w:t>före</w:t>
      </w:r>
      <w:r w:rsidR="00C00AD5">
        <w:t>-</w:t>
      </w:r>
      <w:r w:rsidR="008E1452">
        <w:t>datum</w:t>
      </w:r>
      <w:r w:rsidR="00C00AD5" w:rsidRPr="00C00AD5">
        <w:t xml:space="preserve"> </w:t>
      </w:r>
      <w:r w:rsidR="00C00AD5">
        <w:t>kan användas med god säkerhetsmarginal</w:t>
      </w:r>
      <w:r w:rsidR="008E1452">
        <w:t xml:space="preserve"> </w:t>
      </w:r>
      <w:r w:rsidR="00C00AD5">
        <w:t xml:space="preserve">och </w:t>
      </w:r>
      <w:r w:rsidR="008E1452">
        <w:t xml:space="preserve">bör inte kasseras.            </w:t>
      </w:r>
    </w:p>
    <w:p w:rsidR="00C00AD5" w:rsidRDefault="00553067" w:rsidP="00DE66CD">
      <w:pPr>
        <w:pStyle w:val="Rubrik2"/>
      </w:pPr>
      <w:r>
        <w:t>Hypnotika</w:t>
      </w:r>
    </w:p>
    <w:p w:rsidR="00C00AD5" w:rsidRDefault="0089068B" w:rsidP="0089068B">
      <w:r w:rsidRPr="0089068B">
        <w:rPr>
          <w:b/>
        </w:rPr>
        <w:t>Propofol</w:t>
      </w:r>
      <w:r>
        <w:t xml:space="preserve"> </w:t>
      </w:r>
      <w:r w:rsidR="00C00AD5">
        <w:t>är förstahands</w:t>
      </w:r>
      <w:r w:rsidR="00553067">
        <w:t>alternativ</w:t>
      </w:r>
      <w:r w:rsidR="00C00AD5">
        <w:t xml:space="preserve"> för induktion av anestesi och för intravenöst underhåll av generell anestesi och sedering. Vid uttalad brist på propofol bör användningen styras över till intensivvården och alternativa läkemedel (se nedan) väljas för induktion och underhåll av anestesi. Vid brist på propofol </w:t>
      </w:r>
      <w:r w:rsidRPr="0089068B">
        <w:t xml:space="preserve">kan </w:t>
      </w:r>
      <w:r w:rsidR="00C00AD5">
        <w:t xml:space="preserve">i första hand </w:t>
      </w:r>
      <w:r w:rsidRPr="0089068B">
        <w:t>den veterinärmedicinska beredningen Propovet® användas. Propovet</w:t>
      </w:r>
      <w:r w:rsidR="00C00AD5" w:rsidRPr="0089068B">
        <w:t>®</w:t>
      </w:r>
      <w:r w:rsidRPr="0089068B">
        <w:t xml:space="preserve"> innehåller</w:t>
      </w:r>
      <w:r w:rsidR="00C00AD5">
        <w:t>,</w:t>
      </w:r>
      <w:r w:rsidRPr="0089068B">
        <w:t xml:space="preserve"> till skillnad från </w:t>
      </w:r>
      <w:r w:rsidR="00C00AD5">
        <w:t xml:space="preserve">propofol för </w:t>
      </w:r>
      <w:r w:rsidRPr="0089068B">
        <w:t>human</w:t>
      </w:r>
      <w:r w:rsidR="00C00AD5">
        <w:t xml:space="preserve">t bruk, </w:t>
      </w:r>
      <w:r w:rsidRPr="0089068B">
        <w:t>ben</w:t>
      </w:r>
      <w:r w:rsidR="00C00AD5">
        <w:t>s</w:t>
      </w:r>
      <w:r w:rsidRPr="0089068B">
        <w:t>ylalkohol som konserveringsämne</w:t>
      </w:r>
      <w:r w:rsidR="00C00AD5">
        <w:t xml:space="preserve">. </w:t>
      </w:r>
      <w:r w:rsidRPr="0089068B">
        <w:t>Eftersom clearance för ben</w:t>
      </w:r>
      <w:r w:rsidR="00C00AD5">
        <w:t>s</w:t>
      </w:r>
      <w:r w:rsidRPr="0089068B">
        <w:t xml:space="preserve">ylalkohol </w:t>
      </w:r>
      <w:r w:rsidR="00C00AD5">
        <w:t xml:space="preserve">hos människa </w:t>
      </w:r>
      <w:r w:rsidRPr="0089068B">
        <w:t>är okänd</w:t>
      </w:r>
      <w:r w:rsidR="00C00AD5">
        <w:t>,</w:t>
      </w:r>
      <w:r w:rsidRPr="0089068B">
        <w:t xml:space="preserve"> kan </w:t>
      </w:r>
      <w:r w:rsidR="00C00AD5">
        <w:t>långvarig tillförsel</w:t>
      </w:r>
      <w:r w:rsidR="00C00AD5" w:rsidRPr="0089068B">
        <w:t xml:space="preserve"> </w:t>
      </w:r>
      <w:r w:rsidR="00C00AD5">
        <w:t xml:space="preserve">leda till ackumulering och </w:t>
      </w:r>
      <w:r w:rsidRPr="0089068B">
        <w:t>toxisk</w:t>
      </w:r>
      <w:r w:rsidR="00C00AD5">
        <w:t>a</w:t>
      </w:r>
      <w:r w:rsidRPr="0089068B">
        <w:t xml:space="preserve"> effekt</w:t>
      </w:r>
      <w:r w:rsidR="00C00AD5">
        <w:t xml:space="preserve">er (bl a </w:t>
      </w:r>
      <w:r w:rsidRPr="0089068B">
        <w:t>metabol acidos</w:t>
      </w:r>
      <w:r w:rsidR="00C00AD5">
        <w:t xml:space="preserve">). </w:t>
      </w:r>
      <w:r w:rsidRPr="0089068B">
        <w:t>Propovet</w:t>
      </w:r>
      <w:r w:rsidR="00C00AD5" w:rsidRPr="0089068B">
        <w:t>®</w:t>
      </w:r>
      <w:r w:rsidRPr="0089068B">
        <w:t xml:space="preserve"> bör </w:t>
      </w:r>
      <w:r w:rsidR="00C00AD5">
        <w:t xml:space="preserve">därför </w:t>
      </w:r>
      <w:r>
        <w:t xml:space="preserve">i första hand användas </w:t>
      </w:r>
      <w:r w:rsidR="00C00AD5">
        <w:t>för induktion och för</w:t>
      </w:r>
      <w:r w:rsidR="001712FE">
        <w:t xml:space="preserve"> underhåll</w:t>
      </w:r>
      <w:r w:rsidR="00C00AD5">
        <w:t xml:space="preserve"> av</w:t>
      </w:r>
      <w:r w:rsidR="001712FE">
        <w:t xml:space="preserve"> kort</w:t>
      </w:r>
      <w:r w:rsidR="00C00AD5">
        <w:t xml:space="preserve">variga </w:t>
      </w:r>
      <w:r w:rsidR="001712FE">
        <w:t>anestesier</w:t>
      </w:r>
      <w:r w:rsidRPr="0089068B">
        <w:t>.</w:t>
      </w:r>
      <w:r w:rsidR="00456C99">
        <w:t xml:space="preserve"> </w:t>
      </w:r>
      <w:r w:rsidR="00C00AD5">
        <w:t>Medellånga och längre anestesier underhålls lämpligen med inhalationsläkemedel (se nedan).</w:t>
      </w:r>
    </w:p>
    <w:p w:rsidR="001712FE" w:rsidRDefault="001712FE" w:rsidP="0089068B">
      <w:r w:rsidRPr="001712FE">
        <w:rPr>
          <w:b/>
        </w:rPr>
        <w:t>Tiopental</w:t>
      </w:r>
      <w:r w:rsidRPr="001712FE">
        <w:t xml:space="preserve"> </w:t>
      </w:r>
      <w:r w:rsidR="00456C99">
        <w:t>är</w:t>
      </w:r>
      <w:r>
        <w:t xml:space="preserve"> </w:t>
      </w:r>
      <w:r w:rsidR="0087761C">
        <w:t>andrahands</w:t>
      </w:r>
      <w:r>
        <w:t>alternativ</w:t>
      </w:r>
      <w:r w:rsidR="00C00AD5">
        <w:t xml:space="preserve">. </w:t>
      </w:r>
      <w:r>
        <w:t xml:space="preserve">Som induktionsmedel i bolusinjektion är effekter och bieffeker snarlika dem för propofol. </w:t>
      </w:r>
      <w:r w:rsidR="00C00AD5">
        <w:t xml:space="preserve">Noteras bör att tiopental kan utlösa akut porfyri, och att accidentell intraarteriell eller extravasal injektion kan orsaka vävnadsskador. </w:t>
      </w:r>
      <w:r>
        <w:t>På grund av uttalad ackumulering lämpar sig inte tiopental fö</w:t>
      </w:r>
      <w:r w:rsidR="00C00AD5">
        <w:t>r intravenös i</w:t>
      </w:r>
      <w:r>
        <w:t>nfusion</w:t>
      </w:r>
      <w:r w:rsidR="00553067">
        <w:t>. A</w:t>
      </w:r>
      <w:r>
        <w:t>nestesi</w:t>
      </w:r>
      <w:r w:rsidR="00553067">
        <w:t>n</w:t>
      </w:r>
      <w:r>
        <w:t xml:space="preserve"> </w:t>
      </w:r>
      <w:r w:rsidR="00C00AD5">
        <w:t xml:space="preserve">underhålls </w:t>
      </w:r>
      <w:r>
        <w:t>lämpligen med inhalations</w:t>
      </w:r>
      <w:r w:rsidR="00C00AD5">
        <w:t>läke</w:t>
      </w:r>
      <w:r>
        <w:t>medel</w:t>
      </w:r>
      <w:r w:rsidR="00C00AD5">
        <w:t xml:space="preserve"> (se nedan)</w:t>
      </w:r>
      <w:r>
        <w:t xml:space="preserve">. </w:t>
      </w:r>
    </w:p>
    <w:p w:rsidR="001712FE" w:rsidRDefault="0037664B" w:rsidP="0089068B">
      <w:r>
        <w:rPr>
          <w:b/>
        </w:rPr>
        <w:t>Esk</w:t>
      </w:r>
      <w:r w:rsidRPr="0037664B">
        <w:rPr>
          <w:b/>
        </w:rPr>
        <w:t>etamin</w:t>
      </w:r>
      <w:r>
        <w:t xml:space="preserve"> (Ketanest®</w:t>
      </w:r>
      <w:r w:rsidR="008E1452">
        <w:t>)</w:t>
      </w:r>
      <w:r>
        <w:t xml:space="preserve"> är tredjehandsalternativ och kan användas både som induktionsmedel i bolus</w:t>
      </w:r>
      <w:r w:rsidR="00C00AD5">
        <w:t>injektion</w:t>
      </w:r>
      <w:r>
        <w:t xml:space="preserve"> och i infusion för underhåll</w:t>
      </w:r>
      <w:r w:rsidR="00553067">
        <w:t xml:space="preserve">, men anestesin underhålls i första hand med inhalationsläkemedel (se nedan). Vid brist kan istället </w:t>
      </w:r>
      <w:r w:rsidR="00553067" w:rsidRPr="00456C99">
        <w:rPr>
          <w:b/>
        </w:rPr>
        <w:t>racemiskt ketamin</w:t>
      </w:r>
      <w:r w:rsidR="00553067">
        <w:t xml:space="preserve"> (Ketalar®) användas. För att minska risken för </w:t>
      </w:r>
      <w:r>
        <w:t xml:space="preserve">psykomimetiska biverkningar ska om möjligt esketamin </w:t>
      </w:r>
      <w:r w:rsidR="00553067">
        <w:t xml:space="preserve">och racemiskt ketamin tillföras med lågdos </w:t>
      </w:r>
      <w:r>
        <w:t>ben</w:t>
      </w:r>
      <w:r w:rsidR="00C00AD5">
        <w:t>s</w:t>
      </w:r>
      <w:r>
        <w:t>odiazepin</w:t>
      </w:r>
      <w:r w:rsidR="00C00AD5">
        <w:t xml:space="preserve"> (</w:t>
      </w:r>
      <w:r w:rsidR="00553067">
        <w:t xml:space="preserve">lämpligen </w:t>
      </w:r>
      <w:r>
        <w:t>midazolam</w:t>
      </w:r>
      <w:r w:rsidR="00C00AD5">
        <w:t>)</w:t>
      </w:r>
      <w:r>
        <w:t>.</w:t>
      </w:r>
      <w:r w:rsidR="00553067">
        <w:t xml:space="preserve"> </w:t>
      </w:r>
    </w:p>
    <w:p w:rsidR="00553067" w:rsidRDefault="00553067" w:rsidP="00553067">
      <w:pPr>
        <w:pStyle w:val="Rubrik2"/>
      </w:pPr>
      <w:r>
        <w:lastRenderedPageBreak/>
        <w:t>Inhalationsläkemedel</w:t>
      </w:r>
    </w:p>
    <w:p w:rsidR="008B1F4F" w:rsidRDefault="00C00AD5" w:rsidP="0089068B">
      <w:r>
        <w:rPr>
          <w:b/>
        </w:rPr>
        <w:t>I</w:t>
      </w:r>
      <w:r w:rsidR="0037664B" w:rsidRPr="0037664B">
        <w:rPr>
          <w:b/>
        </w:rPr>
        <w:t>nhalations</w:t>
      </w:r>
      <w:r>
        <w:rPr>
          <w:b/>
        </w:rPr>
        <w:t>läke</w:t>
      </w:r>
      <w:r w:rsidR="0037664B" w:rsidRPr="0037664B">
        <w:rPr>
          <w:b/>
        </w:rPr>
        <w:t>medel</w:t>
      </w:r>
      <w:r w:rsidR="0037664B">
        <w:t xml:space="preserve"> (sevofluran, desfluran, isofluran) lämpar sig för underhåll efter induktion </w:t>
      </w:r>
      <w:r>
        <w:t xml:space="preserve">med </w:t>
      </w:r>
      <w:r w:rsidR="0037664B">
        <w:t xml:space="preserve">ovanstående medel. </w:t>
      </w:r>
      <w:r w:rsidR="00553067">
        <w:t xml:space="preserve">Isofluran har högre löslighet i blod och är därmed mindre styrbart än sevofluran och desfluran. </w:t>
      </w:r>
      <w:r w:rsidR="0037664B">
        <w:t>Sevofluran tolereras väl av vakna och kan även användas för induktion</w:t>
      </w:r>
      <w:r w:rsidR="008E1452">
        <w:t xml:space="preserve">, framförallt till barn. Tillägg av lustgas </w:t>
      </w:r>
      <w:r w:rsidR="00553067">
        <w:t xml:space="preserve">ökar toleransen och </w:t>
      </w:r>
      <w:r w:rsidR="008E1452">
        <w:t>förkortar induktionstiden</w:t>
      </w:r>
      <w:r w:rsidR="00553067">
        <w:t xml:space="preserve">. Induktion med sevofluran bör dock göras på kliniska indikationer.  </w:t>
      </w:r>
      <w:r>
        <w:t xml:space="preserve"> </w:t>
      </w:r>
    </w:p>
    <w:p w:rsidR="00255F4D" w:rsidRDefault="00C00AD5" w:rsidP="00255F4D">
      <w:pPr>
        <w:pStyle w:val="Rubrik2"/>
      </w:pPr>
      <w:r>
        <w:t>Analgetika</w:t>
      </w:r>
    </w:p>
    <w:p w:rsidR="00553067" w:rsidRDefault="00255F4D" w:rsidP="00255F4D">
      <w:r>
        <w:rPr>
          <w:b/>
        </w:rPr>
        <w:t>Remifentani</w:t>
      </w:r>
      <w:r w:rsidRPr="00255F4D">
        <w:rPr>
          <w:b/>
        </w:rPr>
        <w:t>l</w:t>
      </w:r>
      <w:r w:rsidR="00553067">
        <w:t xml:space="preserve"> </w:t>
      </w:r>
      <w:r>
        <w:t xml:space="preserve">är </w:t>
      </w:r>
      <w:r w:rsidR="00553067">
        <w:t>förstahandsalternativ för analgesi i samband med generell a</w:t>
      </w:r>
      <w:r w:rsidR="0087761C">
        <w:t>nestesi</w:t>
      </w:r>
      <w:r w:rsidR="00553067">
        <w:t xml:space="preserve"> och för smärtlindring och dämpning av luftvägsreflexer inom intensivvården. </w:t>
      </w:r>
    </w:p>
    <w:p w:rsidR="00255F4D" w:rsidRDefault="00255F4D" w:rsidP="00255F4D">
      <w:r w:rsidRPr="00255F4D">
        <w:rPr>
          <w:b/>
        </w:rPr>
        <w:t>Alfentanil</w:t>
      </w:r>
      <w:r>
        <w:t xml:space="preserve"> </w:t>
      </w:r>
      <w:r w:rsidR="00553067">
        <w:t>är andrahandsalternativ. F</w:t>
      </w:r>
      <w:r>
        <w:t>armakokinetik</w:t>
      </w:r>
      <w:r w:rsidR="00553067">
        <w:t>en</w:t>
      </w:r>
      <w:r>
        <w:t xml:space="preserve"> </w:t>
      </w:r>
      <w:r w:rsidR="00553067">
        <w:t xml:space="preserve">möjliggör intravenös </w:t>
      </w:r>
      <w:r>
        <w:t xml:space="preserve">infusion </w:t>
      </w:r>
      <w:r w:rsidR="00553067">
        <w:t xml:space="preserve">för underhåll av generell </w:t>
      </w:r>
      <w:r>
        <w:t>anestesi</w:t>
      </w:r>
      <w:r w:rsidR="00553067">
        <w:t xml:space="preserve"> och för smärtlindring inom intensivvården</w:t>
      </w:r>
      <w:r>
        <w:t>.</w:t>
      </w:r>
    </w:p>
    <w:p w:rsidR="00255F4D" w:rsidRDefault="00255F4D" w:rsidP="00255F4D">
      <w:r w:rsidRPr="00255F4D">
        <w:rPr>
          <w:b/>
        </w:rPr>
        <w:t>Fentanyl</w:t>
      </w:r>
      <w:r>
        <w:t xml:space="preserve"> </w:t>
      </w:r>
      <w:r w:rsidR="0087761C">
        <w:t xml:space="preserve">är tredjehandsalternativ men </w:t>
      </w:r>
      <w:r>
        <w:t xml:space="preserve">har uttalad </w:t>
      </w:r>
      <w:r w:rsidR="00553067">
        <w:t xml:space="preserve">tendens till </w:t>
      </w:r>
      <w:r>
        <w:t>ackumulering</w:t>
      </w:r>
      <w:r w:rsidR="00553067">
        <w:t xml:space="preserve"> och lämpar sig därmed inte för intravenös infusion</w:t>
      </w:r>
      <w:r w:rsidR="00DE66CD">
        <w:t xml:space="preserve"> i samband med anestesi</w:t>
      </w:r>
      <w:r w:rsidR="0087761C">
        <w:t>.</w:t>
      </w:r>
      <w:r>
        <w:t xml:space="preserve"> </w:t>
      </w:r>
      <w:r w:rsidR="00553067">
        <w:t>Läkemedlet tillförs intermittent inför induktion, för underhåll av generell a</w:t>
      </w:r>
      <w:r>
        <w:t>nestesi</w:t>
      </w:r>
      <w:r w:rsidR="00553067">
        <w:t xml:space="preserve"> samt för smärtlindring inom intensivvården. </w:t>
      </w:r>
    </w:p>
    <w:p w:rsidR="0087761C" w:rsidRPr="00255F4D" w:rsidRDefault="00553067" w:rsidP="00255F4D">
      <w:r>
        <w:rPr>
          <w:b/>
        </w:rPr>
        <w:t>M</w:t>
      </w:r>
      <w:r w:rsidRPr="0087761C">
        <w:rPr>
          <w:b/>
        </w:rPr>
        <w:t>orfin, ketobemidon</w:t>
      </w:r>
      <w:r>
        <w:t xml:space="preserve"> och </w:t>
      </w:r>
      <w:r w:rsidRPr="0087761C">
        <w:rPr>
          <w:b/>
        </w:rPr>
        <w:t xml:space="preserve">oxikodon </w:t>
      </w:r>
      <w:r>
        <w:t xml:space="preserve">har längre effektduration och är fjärdehandsalternativ för smärtlindring inom intensivvården vid </w:t>
      </w:r>
      <w:r w:rsidR="0087761C">
        <w:t xml:space="preserve">brist </w:t>
      </w:r>
      <w:r>
        <w:t xml:space="preserve">på remifentanil, alfentanil och fentanyl. </w:t>
      </w:r>
    </w:p>
    <w:p w:rsidR="0089068B" w:rsidRDefault="0087761C" w:rsidP="0087761C">
      <w:pPr>
        <w:pStyle w:val="Rubrik2"/>
      </w:pPr>
      <w:r>
        <w:t>Muskelrelaxantia</w:t>
      </w:r>
    </w:p>
    <w:p w:rsidR="001E6CAC" w:rsidRDefault="001E6CAC" w:rsidP="004A1272">
      <w:r w:rsidRPr="001E6CAC">
        <w:rPr>
          <w:b/>
        </w:rPr>
        <w:t>Rokuron</w:t>
      </w:r>
      <w:r>
        <w:t xml:space="preserve"> är förstahand</w:t>
      </w:r>
      <w:r w:rsidR="00553067">
        <w:t xml:space="preserve">alternativ för induktion och underhåll av muskelrelaxation </w:t>
      </w:r>
      <w:r>
        <w:t xml:space="preserve">inom såväl </w:t>
      </w:r>
      <w:r w:rsidR="00553067">
        <w:t xml:space="preserve">anestesi som </w:t>
      </w:r>
      <w:r>
        <w:t>intensivvård.</w:t>
      </w:r>
    </w:p>
    <w:p w:rsidR="001E6CAC" w:rsidRDefault="001E6CAC" w:rsidP="004A1272">
      <w:r w:rsidRPr="001E6CAC">
        <w:rPr>
          <w:b/>
        </w:rPr>
        <w:t>Suxameton</w:t>
      </w:r>
      <w:r>
        <w:t xml:space="preserve"> är ett fullgott andrahandsalternativ för in</w:t>
      </w:r>
      <w:r w:rsidR="00553067">
        <w:t xml:space="preserve">duktion av muskelrelaxation men ska undvikas för underhåll av muskelrelaxation.   </w:t>
      </w:r>
    </w:p>
    <w:p w:rsidR="001E6CAC" w:rsidRDefault="001E6CAC" w:rsidP="004A1272">
      <w:r w:rsidRPr="001E6CAC">
        <w:rPr>
          <w:b/>
        </w:rPr>
        <w:t>Atrakurium</w:t>
      </w:r>
      <w:r>
        <w:t xml:space="preserve"> och </w:t>
      </w:r>
      <w:r w:rsidRPr="001E6CAC">
        <w:rPr>
          <w:b/>
        </w:rPr>
        <w:t>mivakurium</w:t>
      </w:r>
      <w:r>
        <w:t xml:space="preserve"> är andrahandsalternativ för underhåll av muskelrelaxation </w:t>
      </w:r>
      <w:r w:rsidR="00553067">
        <w:t>och k</w:t>
      </w:r>
      <w:r>
        <w:t>an även användas för in</w:t>
      </w:r>
      <w:r w:rsidR="00553067">
        <w:t xml:space="preserve">duktion av muskelrelaxation med beaktande av </w:t>
      </w:r>
      <w:r>
        <w:t xml:space="preserve">längre </w:t>
      </w:r>
      <w:r w:rsidR="00553067">
        <w:t>an</w:t>
      </w:r>
      <w:r>
        <w:t>slagstide</w:t>
      </w:r>
      <w:r w:rsidR="00553067">
        <w:t xml:space="preserve">r. </w:t>
      </w:r>
    </w:p>
    <w:p w:rsidR="00553067" w:rsidRDefault="001E6CAC" w:rsidP="00553067">
      <w:r w:rsidRPr="008B1F4F">
        <w:rPr>
          <w:b/>
        </w:rPr>
        <w:t>Vekuron</w:t>
      </w:r>
      <w:r w:rsidR="00553067">
        <w:rPr>
          <w:b/>
        </w:rPr>
        <w:t xml:space="preserve">, </w:t>
      </w:r>
      <w:r>
        <w:t>avregistrerat i Sverige</w:t>
      </w:r>
      <w:r w:rsidR="00553067">
        <w:t xml:space="preserve">, </w:t>
      </w:r>
      <w:r w:rsidR="008B1F4F">
        <w:t xml:space="preserve">är </w:t>
      </w:r>
      <w:r>
        <w:t>i mån av tillgång</w:t>
      </w:r>
      <w:r w:rsidR="008B1F4F">
        <w:t xml:space="preserve"> ett</w:t>
      </w:r>
      <w:r w:rsidR="00553067">
        <w:t xml:space="preserve"> tredjehands</w:t>
      </w:r>
      <w:r w:rsidR="008B1F4F">
        <w:t xml:space="preserve">alternativ </w:t>
      </w:r>
      <w:r w:rsidR="00553067">
        <w:t xml:space="preserve">för underhåll av muskelrelaxation liksom för induktion av muskelrelaxation med beaktande av längre anslagstid. </w:t>
      </w:r>
    </w:p>
    <w:p w:rsidR="009A5276" w:rsidRDefault="008B1F4F">
      <w:r w:rsidRPr="008B1F4F">
        <w:rPr>
          <w:b/>
        </w:rPr>
        <w:t>Pankuron</w:t>
      </w:r>
      <w:r>
        <w:t xml:space="preserve">, även det avregistrerat, ska undvikas </w:t>
      </w:r>
      <w:r w:rsidR="00553067">
        <w:t xml:space="preserve">helt </w:t>
      </w:r>
      <w:r>
        <w:t>på grund av lång och svår</w:t>
      </w:r>
      <w:r w:rsidR="00553067">
        <w:t>förutsäg</w:t>
      </w:r>
      <w:r w:rsidR="009A5276">
        <w:t>bar effektduration.</w:t>
      </w:r>
    </w:p>
    <w:p w:rsidR="009A5276" w:rsidRDefault="009A5276"/>
    <w:p w:rsidR="009A5276" w:rsidRPr="009A5276" w:rsidRDefault="009A5276" w:rsidP="009A5276">
      <w:pPr>
        <w:spacing w:before="100" w:beforeAutospacing="1" w:after="100" w:afterAutospacing="1" w:line="240" w:lineRule="auto"/>
        <w:rPr>
          <w:rFonts w:ascii="Calibri" w:eastAsia="Times New Roman" w:hAnsi="Calibri" w:cs="Calibri"/>
          <w:b/>
          <w:bCs/>
          <w:lang w:eastAsia="sv-SE"/>
        </w:rPr>
      </w:pPr>
      <w:r w:rsidRPr="009A5276">
        <w:rPr>
          <w:rFonts w:ascii="Calibri" w:eastAsia="Times New Roman" w:hAnsi="Calibri" w:cs="Calibri"/>
          <w:b/>
          <w:bCs/>
          <w:lang w:eastAsia="sv-SE"/>
        </w:rPr>
        <w:lastRenderedPageBreak/>
        <w:t>Expertgruppen för SFAI/SIS</w:t>
      </w: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Lars I. Eriksson, professor, enhetschef, överläkare</w:t>
      </w:r>
      <w:r w:rsidRPr="009A5276">
        <w:rPr>
          <w:rFonts w:ascii="Calibri" w:eastAsia="Calibri" w:hAnsi="Calibri" w:cs="Times New Roman"/>
          <w:sz w:val="20"/>
          <w:szCs w:val="20"/>
        </w:rPr>
        <w:br/>
        <w:t>Funktion Perioperativ Medicin och Intensivvård</w:t>
      </w:r>
      <w:r w:rsidRPr="009A5276">
        <w:rPr>
          <w:rFonts w:ascii="Calibri" w:eastAsia="Calibri" w:hAnsi="Calibri" w:cs="Times New Roman"/>
          <w:sz w:val="20"/>
          <w:szCs w:val="20"/>
        </w:rPr>
        <w:br/>
        <w:t>Karolinska Universitetssjukhuset, Stockholm</w:t>
      </w:r>
      <w:r w:rsidRPr="009A5276">
        <w:rPr>
          <w:rFonts w:ascii="Calibri" w:eastAsia="Calibri" w:hAnsi="Calibri" w:cs="Times New Roman"/>
          <w:sz w:val="20"/>
          <w:szCs w:val="20"/>
        </w:rPr>
        <w:br/>
        <w:t>Sektionen för Anestesiologi och Intensivvård</w:t>
      </w:r>
      <w:r w:rsidRPr="009A5276">
        <w:rPr>
          <w:rFonts w:ascii="Calibri" w:eastAsia="Calibri" w:hAnsi="Calibri" w:cs="Times New Roman"/>
          <w:sz w:val="20"/>
          <w:szCs w:val="20"/>
        </w:rPr>
        <w:br/>
        <w:t>Institutionen för Fysiologi och Farmakologi</w:t>
      </w:r>
      <w:r w:rsidRPr="009A5276">
        <w:rPr>
          <w:rFonts w:ascii="Calibri" w:eastAsia="Calibri" w:hAnsi="Calibri" w:cs="Times New Roman"/>
          <w:sz w:val="20"/>
          <w:szCs w:val="20"/>
        </w:rPr>
        <w:br/>
        <w:t>Karolinska Institutet</w:t>
      </w:r>
    </w:p>
    <w:p w:rsidR="009A5276" w:rsidRPr="009A5276" w:rsidRDefault="009A5276" w:rsidP="009A5276">
      <w:pPr>
        <w:spacing w:after="0" w:line="240" w:lineRule="auto"/>
        <w:rPr>
          <w:rFonts w:ascii="Calibri" w:eastAsia="Calibri" w:hAnsi="Calibri" w:cs="Times New Roman"/>
          <w:sz w:val="20"/>
          <w:szCs w:val="20"/>
        </w:rPr>
      </w:pP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Anders Oldner, professor, överläkare</w:t>
      </w:r>
      <w:r w:rsidRPr="009A5276">
        <w:rPr>
          <w:rFonts w:ascii="Calibri" w:eastAsia="Calibri" w:hAnsi="Calibri" w:cs="Times New Roman"/>
          <w:sz w:val="20"/>
          <w:szCs w:val="20"/>
        </w:rPr>
        <w:br/>
        <w:t>Funktion Perioperativ Medicin och Intensivvård</w:t>
      </w:r>
      <w:r w:rsidRPr="009A5276">
        <w:rPr>
          <w:rFonts w:ascii="Calibri" w:eastAsia="Calibri" w:hAnsi="Calibri" w:cs="Times New Roman"/>
          <w:sz w:val="20"/>
          <w:szCs w:val="20"/>
        </w:rPr>
        <w:br/>
        <w:t>Karolinska Universitetssjukhuset</w:t>
      </w:r>
      <w:r w:rsidRPr="009A5276">
        <w:rPr>
          <w:rFonts w:ascii="Calibri" w:eastAsia="Calibri" w:hAnsi="Calibri" w:cs="Times New Roman"/>
          <w:sz w:val="20"/>
          <w:szCs w:val="20"/>
        </w:rPr>
        <w:br/>
        <w:t>Institutionen för Fysiologi och Farmakologi</w:t>
      </w:r>
      <w:r w:rsidRPr="009A5276">
        <w:rPr>
          <w:rFonts w:ascii="Calibri" w:eastAsia="Calibri" w:hAnsi="Calibri" w:cs="Times New Roman"/>
          <w:sz w:val="20"/>
          <w:szCs w:val="20"/>
        </w:rPr>
        <w:br/>
        <w:t>Karolinska Institutet</w:t>
      </w:r>
    </w:p>
    <w:p w:rsidR="009A5276" w:rsidRPr="009A5276" w:rsidRDefault="009A5276" w:rsidP="009A5276">
      <w:pPr>
        <w:spacing w:after="0" w:line="240" w:lineRule="auto"/>
        <w:rPr>
          <w:rFonts w:ascii="Calibri" w:eastAsia="Calibri" w:hAnsi="Calibri" w:cs="Times New Roman"/>
          <w:sz w:val="20"/>
          <w:szCs w:val="20"/>
        </w:rPr>
      </w:pPr>
    </w:p>
    <w:p w:rsidR="009A5276" w:rsidRPr="009A5276" w:rsidRDefault="009A5276" w:rsidP="009A5276">
      <w:pPr>
        <w:spacing w:after="0" w:line="240" w:lineRule="auto"/>
        <w:rPr>
          <w:rFonts w:ascii="Calibri" w:eastAsia="Calibri" w:hAnsi="Calibri" w:cs="Times New Roman"/>
          <w:sz w:val="20"/>
          <w:szCs w:val="20"/>
        </w:rPr>
      </w:pPr>
      <w:bookmarkStart w:id="0" w:name="_Hlk36468660"/>
      <w:r w:rsidRPr="009A5276">
        <w:rPr>
          <w:rFonts w:ascii="Calibri" w:eastAsia="Calibri" w:hAnsi="Calibri" w:cs="Times New Roman"/>
          <w:sz w:val="20"/>
          <w:szCs w:val="20"/>
        </w:rPr>
        <w:t>Michelle Chew, professor, överläkare</w:t>
      </w:r>
      <w:r w:rsidRPr="009A5276">
        <w:rPr>
          <w:rFonts w:ascii="Calibri" w:eastAsia="Calibri" w:hAnsi="Calibri" w:cs="Times New Roman"/>
          <w:sz w:val="20"/>
          <w:szCs w:val="20"/>
        </w:rPr>
        <w:br/>
        <w:t>Anestesiologi och Intensivvård</w:t>
      </w:r>
      <w:r w:rsidRPr="009A5276">
        <w:rPr>
          <w:rFonts w:ascii="Calibri" w:eastAsia="Calibri" w:hAnsi="Calibri" w:cs="Times New Roman"/>
          <w:sz w:val="20"/>
          <w:szCs w:val="20"/>
        </w:rPr>
        <w:br/>
        <w:t>Universitetssjukhuset Linköping</w:t>
      </w:r>
      <w:r w:rsidRPr="009A5276">
        <w:rPr>
          <w:rFonts w:ascii="Calibri" w:eastAsia="Calibri" w:hAnsi="Calibri" w:cs="Times New Roman"/>
          <w:sz w:val="20"/>
          <w:szCs w:val="20"/>
        </w:rPr>
        <w:br/>
        <w:t>Institution för biomedicinska och kliniska vetenskaper</w:t>
      </w:r>
      <w:r w:rsidRPr="009A5276">
        <w:rPr>
          <w:rFonts w:ascii="Calibri" w:eastAsia="Calibri" w:hAnsi="Calibri" w:cs="Times New Roman"/>
          <w:sz w:val="20"/>
          <w:szCs w:val="20"/>
        </w:rPr>
        <w:br/>
        <w:t>Linköpings Universitet</w:t>
      </w:r>
      <w:bookmarkEnd w:id="0"/>
    </w:p>
    <w:p w:rsidR="009A5276" w:rsidRPr="009A5276" w:rsidRDefault="009A5276" w:rsidP="009A5276">
      <w:pPr>
        <w:spacing w:before="100" w:beforeAutospacing="1" w:after="100" w:afterAutospacing="1" w:line="240" w:lineRule="auto"/>
        <w:rPr>
          <w:rFonts w:ascii="Calibri" w:eastAsia="Times New Roman" w:hAnsi="Calibri" w:cs="Calibri"/>
          <w:sz w:val="20"/>
          <w:szCs w:val="20"/>
          <w:lang w:eastAsia="sv-SE"/>
        </w:rPr>
      </w:pPr>
      <w:r w:rsidRPr="009A5276">
        <w:rPr>
          <w:rFonts w:ascii="Calibri" w:eastAsia="Times New Roman" w:hAnsi="Calibri" w:cs="Calibri"/>
          <w:sz w:val="20"/>
          <w:szCs w:val="20"/>
          <w:lang w:eastAsia="sv-SE"/>
        </w:rPr>
        <w:t>Sten Rubertsson, professor, överläkare</w:t>
      </w:r>
      <w:r w:rsidRPr="009A5276">
        <w:rPr>
          <w:rFonts w:ascii="Calibri" w:eastAsia="Times New Roman" w:hAnsi="Calibri" w:cs="Calibri"/>
          <w:sz w:val="20"/>
          <w:szCs w:val="20"/>
          <w:lang w:eastAsia="sv-SE"/>
        </w:rPr>
        <w:br/>
        <w:t>Anestesiologi &amp; Intensivvård</w:t>
      </w:r>
      <w:r w:rsidRPr="009A5276">
        <w:rPr>
          <w:rFonts w:ascii="Calibri" w:eastAsia="Times New Roman" w:hAnsi="Calibri" w:cs="Calibri"/>
          <w:sz w:val="20"/>
          <w:szCs w:val="20"/>
          <w:lang w:eastAsia="sv-SE"/>
        </w:rPr>
        <w:br/>
        <w:t>Akademiska Sjukhuset, AnOpIVA</w:t>
      </w:r>
      <w:r w:rsidRPr="009A5276">
        <w:rPr>
          <w:rFonts w:ascii="Calibri" w:eastAsia="Times New Roman" w:hAnsi="Calibri" w:cs="Calibri"/>
          <w:sz w:val="20"/>
          <w:szCs w:val="20"/>
          <w:lang w:eastAsia="sv-SE"/>
        </w:rPr>
        <w:br/>
        <w:t>Inst. För Kirurgiska Vetenskaper/Anestesiologi &amp; Intensivvård</w:t>
      </w:r>
      <w:r w:rsidRPr="009A5276">
        <w:rPr>
          <w:rFonts w:ascii="Calibri" w:eastAsia="Times New Roman" w:hAnsi="Calibri" w:cs="Calibri"/>
          <w:sz w:val="20"/>
          <w:szCs w:val="20"/>
          <w:lang w:eastAsia="sv-SE"/>
        </w:rPr>
        <w:br/>
        <w:t>Uppsala Universitet</w:t>
      </w: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Miklos Lipcsey, professor, överläkare</w:t>
      </w:r>
      <w:r w:rsidRPr="009A5276">
        <w:rPr>
          <w:rFonts w:ascii="Calibri" w:eastAsia="Calibri" w:hAnsi="Calibri" w:cs="Times New Roman"/>
          <w:sz w:val="20"/>
          <w:szCs w:val="20"/>
        </w:rPr>
        <w:br/>
        <w:t>Anestesiologi &amp; Intensivvård</w:t>
      </w:r>
      <w:r w:rsidRPr="009A5276">
        <w:rPr>
          <w:rFonts w:ascii="Calibri" w:eastAsia="Calibri" w:hAnsi="Calibri" w:cs="Times New Roman"/>
          <w:sz w:val="20"/>
          <w:szCs w:val="20"/>
        </w:rPr>
        <w:br/>
        <w:t>Akademiska Sjukhuset, AnOpIVA</w:t>
      </w:r>
      <w:r w:rsidRPr="009A5276">
        <w:rPr>
          <w:rFonts w:ascii="Calibri" w:eastAsia="Calibri" w:hAnsi="Calibri" w:cs="Times New Roman"/>
          <w:sz w:val="20"/>
          <w:szCs w:val="20"/>
        </w:rPr>
        <w:br/>
        <w:t>Inst. För Kirurgiska Vetenskaper/Anestesiologi &amp; Intensivvård</w:t>
      </w:r>
      <w:r w:rsidRPr="009A5276">
        <w:rPr>
          <w:rFonts w:ascii="Calibri" w:eastAsia="Calibri" w:hAnsi="Calibri" w:cs="Times New Roman"/>
          <w:sz w:val="20"/>
          <w:szCs w:val="20"/>
        </w:rPr>
        <w:br/>
        <w:t>Uppsala Universitet</w:t>
      </w:r>
    </w:p>
    <w:p w:rsidR="009A5276" w:rsidRPr="009A5276" w:rsidRDefault="009A5276" w:rsidP="009A5276">
      <w:pPr>
        <w:spacing w:before="100" w:beforeAutospacing="1" w:after="100" w:afterAutospacing="1" w:line="240" w:lineRule="auto"/>
        <w:rPr>
          <w:rFonts w:ascii="Calibri" w:eastAsia="Times New Roman" w:hAnsi="Calibri" w:cs="Calibri"/>
          <w:color w:val="000000"/>
          <w:sz w:val="20"/>
          <w:szCs w:val="20"/>
          <w:lang w:eastAsia="sv-SE"/>
        </w:rPr>
      </w:pPr>
      <w:r w:rsidRPr="009A5276">
        <w:rPr>
          <w:rFonts w:ascii="Calibri" w:eastAsia="Times New Roman" w:hAnsi="Calibri" w:cs="Calibri"/>
          <w:color w:val="000000"/>
          <w:sz w:val="20"/>
          <w:szCs w:val="20"/>
          <w:lang w:eastAsia="sv-SE"/>
        </w:rPr>
        <w:t>Mikael Bodelsson, professor, överläkare</w:t>
      </w:r>
      <w:r w:rsidRPr="009A5276">
        <w:rPr>
          <w:rFonts w:ascii="Calibri" w:eastAsia="Times New Roman" w:hAnsi="Calibri" w:cs="Calibri"/>
          <w:color w:val="000000"/>
          <w:sz w:val="20"/>
          <w:szCs w:val="20"/>
          <w:lang w:eastAsia="sv-SE"/>
        </w:rPr>
        <w:br/>
        <w:t>Verksamhetsområde Intensiv- och perioperativ vård</w:t>
      </w:r>
      <w:r w:rsidRPr="009A5276">
        <w:rPr>
          <w:rFonts w:ascii="Calibri" w:eastAsia="Times New Roman" w:hAnsi="Calibri" w:cs="Calibri"/>
          <w:color w:val="000000"/>
          <w:sz w:val="20"/>
          <w:szCs w:val="20"/>
          <w:lang w:eastAsia="sv-SE"/>
        </w:rPr>
        <w:br/>
        <w:t>Skånes Universitetssjukhus</w:t>
      </w:r>
      <w:r w:rsidRPr="009A5276">
        <w:rPr>
          <w:rFonts w:ascii="Calibri" w:eastAsia="Times New Roman" w:hAnsi="Calibri" w:cs="Calibri"/>
          <w:color w:val="000000"/>
          <w:sz w:val="20"/>
          <w:szCs w:val="20"/>
          <w:lang w:eastAsia="sv-SE"/>
        </w:rPr>
        <w:br/>
        <w:t>Institutionen för kliniska vetenskaper Lund</w:t>
      </w:r>
      <w:r w:rsidRPr="009A5276">
        <w:rPr>
          <w:rFonts w:ascii="Calibri" w:eastAsia="Times New Roman" w:hAnsi="Calibri" w:cs="Calibri"/>
          <w:color w:val="000000"/>
          <w:sz w:val="20"/>
          <w:szCs w:val="20"/>
          <w:lang w:eastAsia="sv-SE"/>
        </w:rPr>
        <w:br/>
        <w:t>Anestesiologi och intensivvård</w:t>
      </w:r>
      <w:r w:rsidRPr="009A5276">
        <w:rPr>
          <w:rFonts w:ascii="Calibri" w:eastAsia="Times New Roman" w:hAnsi="Calibri" w:cs="Calibri"/>
          <w:color w:val="000000"/>
          <w:sz w:val="20"/>
          <w:szCs w:val="20"/>
          <w:lang w:eastAsia="sv-SE"/>
        </w:rPr>
        <w:br/>
        <w:t>Lunds Universitet</w:t>
      </w: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Hans Hjelmqvist professor, överläkare</w:t>
      </w:r>
      <w:r w:rsidRPr="009A5276">
        <w:rPr>
          <w:rFonts w:ascii="Calibri" w:eastAsia="Calibri" w:hAnsi="Calibri" w:cs="Times New Roman"/>
          <w:sz w:val="20"/>
          <w:szCs w:val="20"/>
        </w:rPr>
        <w:br/>
        <w:t>Anestesi och Intensivvård</w:t>
      </w:r>
      <w:r w:rsidRPr="009A5276">
        <w:rPr>
          <w:rFonts w:ascii="Calibri" w:eastAsia="Calibri" w:hAnsi="Calibri" w:cs="Times New Roman"/>
          <w:sz w:val="20"/>
          <w:szCs w:val="20"/>
        </w:rPr>
        <w:br/>
        <w:t>Örebro Universitetssjukhus</w:t>
      </w:r>
      <w:r w:rsidRPr="009A5276">
        <w:rPr>
          <w:rFonts w:ascii="Calibri" w:eastAsia="Calibri" w:hAnsi="Calibri" w:cs="Times New Roman"/>
          <w:sz w:val="20"/>
          <w:szCs w:val="20"/>
        </w:rPr>
        <w:br/>
        <w:t>Institutionen för Medicinsk Vetenskap</w:t>
      </w:r>
      <w:r w:rsidRPr="009A5276">
        <w:rPr>
          <w:rFonts w:ascii="Calibri" w:eastAsia="Calibri" w:hAnsi="Calibri" w:cs="Times New Roman"/>
          <w:sz w:val="20"/>
          <w:szCs w:val="20"/>
        </w:rPr>
        <w:br/>
        <w:t>Örebro Universitet</w:t>
      </w:r>
    </w:p>
    <w:p w:rsidR="009A5276" w:rsidRPr="009A5276" w:rsidRDefault="009A5276" w:rsidP="009A5276">
      <w:pPr>
        <w:spacing w:after="0" w:line="240" w:lineRule="auto"/>
        <w:rPr>
          <w:rFonts w:ascii="Calibri" w:eastAsia="Calibri" w:hAnsi="Calibri" w:cs="Times New Roman"/>
          <w:sz w:val="20"/>
          <w:szCs w:val="20"/>
        </w:rPr>
      </w:pP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Michael Haney, professor, överläkare</w:t>
      </w:r>
      <w:r w:rsidRPr="009A5276">
        <w:rPr>
          <w:rFonts w:ascii="Calibri" w:eastAsia="Calibri" w:hAnsi="Calibri" w:cs="Times New Roman"/>
          <w:sz w:val="20"/>
          <w:szCs w:val="20"/>
        </w:rPr>
        <w:br/>
        <w:t>Anestesiologi och intensivvård</w:t>
      </w:r>
      <w:r w:rsidRPr="009A5276">
        <w:rPr>
          <w:rFonts w:ascii="Calibri" w:eastAsia="Calibri" w:hAnsi="Calibri" w:cs="Times New Roman"/>
          <w:sz w:val="20"/>
          <w:szCs w:val="20"/>
        </w:rPr>
        <w:br/>
        <w:t>Norrlands Universitetssjukhus</w:t>
      </w:r>
      <w:r w:rsidRPr="009A5276">
        <w:rPr>
          <w:rFonts w:ascii="Calibri" w:eastAsia="Calibri" w:hAnsi="Calibri" w:cs="Times New Roman"/>
          <w:sz w:val="20"/>
          <w:szCs w:val="20"/>
        </w:rPr>
        <w:br/>
        <w:t>Inst. för Kirurgisk och perioperativ vetenskap/Anestesiologi och intensivvård</w:t>
      </w:r>
      <w:r w:rsidRPr="009A5276">
        <w:rPr>
          <w:rFonts w:ascii="Calibri" w:eastAsia="Calibri" w:hAnsi="Calibri" w:cs="Times New Roman"/>
          <w:sz w:val="20"/>
          <w:szCs w:val="20"/>
        </w:rPr>
        <w:br/>
        <w:t>Umeå Universitet</w:t>
      </w:r>
    </w:p>
    <w:p w:rsidR="009A5276" w:rsidRPr="009A5276" w:rsidRDefault="009A5276" w:rsidP="009A5276">
      <w:pPr>
        <w:spacing w:after="0" w:line="240" w:lineRule="auto"/>
        <w:rPr>
          <w:rFonts w:ascii="Calibri" w:eastAsia="Calibri" w:hAnsi="Calibri" w:cs="Times New Roman"/>
          <w:sz w:val="20"/>
          <w:szCs w:val="20"/>
        </w:rPr>
      </w:pP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Sven-Erik Ricksten, Senior professor</w:t>
      </w:r>
      <w:r w:rsidRPr="009A5276">
        <w:rPr>
          <w:rFonts w:ascii="Calibri" w:eastAsia="Calibri" w:hAnsi="Calibri" w:cs="Times New Roman"/>
          <w:sz w:val="20"/>
          <w:szCs w:val="20"/>
        </w:rPr>
        <w:br/>
        <w:t>Avd. för anestesiologi och intensivvård</w:t>
      </w: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Sahlgrenska Universitetssjukhuset</w:t>
      </w:r>
      <w:r w:rsidRPr="009A5276">
        <w:rPr>
          <w:rFonts w:ascii="Calibri" w:eastAsia="Calibri" w:hAnsi="Calibri" w:cs="Times New Roman"/>
          <w:sz w:val="20"/>
          <w:szCs w:val="20"/>
        </w:rPr>
        <w:br/>
        <w:t>Institutionen för kliniska vetenskaper</w:t>
      </w:r>
      <w:r w:rsidRPr="009A5276">
        <w:rPr>
          <w:rFonts w:ascii="Calibri" w:eastAsia="Calibri" w:hAnsi="Calibri" w:cs="Times New Roman"/>
          <w:sz w:val="20"/>
          <w:szCs w:val="20"/>
        </w:rPr>
        <w:br/>
      </w:r>
      <w:r w:rsidRPr="009A5276">
        <w:rPr>
          <w:rFonts w:ascii="Calibri" w:eastAsia="Calibri" w:hAnsi="Calibri" w:cs="Times New Roman"/>
          <w:sz w:val="20"/>
          <w:szCs w:val="20"/>
        </w:rPr>
        <w:lastRenderedPageBreak/>
        <w:t>Sahlgrenska akademin, Göteborgs universitet</w:t>
      </w:r>
      <w:r w:rsidRPr="009A5276">
        <w:rPr>
          <w:rFonts w:ascii="Calibri" w:eastAsia="Calibri" w:hAnsi="Calibri" w:cs="Times New Roman"/>
          <w:sz w:val="20"/>
          <w:szCs w:val="20"/>
        </w:rPr>
        <w:br/>
      </w:r>
    </w:p>
    <w:p w:rsidR="009A5276" w:rsidRPr="009A5276" w:rsidRDefault="009A5276" w:rsidP="009A5276">
      <w:pPr>
        <w:spacing w:after="0" w:line="240" w:lineRule="auto"/>
        <w:rPr>
          <w:rFonts w:ascii="Calibri" w:eastAsia="Calibri" w:hAnsi="Calibri" w:cs="Times New Roman"/>
          <w:sz w:val="20"/>
          <w:szCs w:val="20"/>
        </w:rPr>
      </w:pP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Jonas Åkeson</w:t>
      </w: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Calibri"/>
          <w:color w:val="000000"/>
          <w:sz w:val="20"/>
          <w:szCs w:val="20"/>
        </w:rPr>
        <w:t>Verksamhetsområde Intensiv- och perioperativ vård</w:t>
      </w:r>
      <w:r w:rsidRPr="009A5276">
        <w:rPr>
          <w:rFonts w:ascii="Calibri" w:eastAsia="Calibri" w:hAnsi="Calibri" w:cs="Calibri"/>
          <w:color w:val="000000"/>
          <w:sz w:val="20"/>
          <w:szCs w:val="20"/>
        </w:rPr>
        <w:br/>
        <w:t>Skånes Universitetssjukhus Malmö</w:t>
      </w:r>
      <w:r w:rsidRPr="009A5276">
        <w:rPr>
          <w:rFonts w:ascii="Calibri" w:eastAsia="Calibri" w:hAnsi="Calibri" w:cs="Calibri"/>
          <w:color w:val="000000"/>
          <w:sz w:val="20"/>
          <w:szCs w:val="20"/>
        </w:rPr>
        <w:br/>
      </w:r>
      <w:r w:rsidRPr="009A5276">
        <w:rPr>
          <w:rFonts w:ascii="Calibri" w:eastAsia="Calibri" w:hAnsi="Calibri" w:cs="Times New Roman"/>
          <w:sz w:val="20"/>
          <w:szCs w:val="20"/>
        </w:rPr>
        <w:t>Institutionen för kliniska vetenskaper Malmö</w:t>
      </w: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Anestesiologi och Intensivvård</w:t>
      </w:r>
    </w:p>
    <w:p w:rsidR="009A5276" w:rsidRPr="009A5276" w:rsidRDefault="009A5276" w:rsidP="009A5276">
      <w:pPr>
        <w:spacing w:after="0" w:line="240" w:lineRule="auto"/>
        <w:rPr>
          <w:rFonts w:ascii="Calibri" w:eastAsia="Calibri" w:hAnsi="Calibri" w:cs="Times New Roman"/>
          <w:sz w:val="20"/>
          <w:szCs w:val="20"/>
        </w:rPr>
      </w:pPr>
      <w:r w:rsidRPr="009A5276">
        <w:rPr>
          <w:rFonts w:ascii="Calibri" w:eastAsia="Calibri" w:hAnsi="Calibri" w:cs="Times New Roman"/>
          <w:sz w:val="20"/>
          <w:szCs w:val="20"/>
        </w:rPr>
        <w:t>Lunds Universitet</w:t>
      </w:r>
    </w:p>
    <w:p w:rsidR="009A5276" w:rsidRDefault="009A5276"/>
    <w:p w:rsidR="009A5276" w:rsidRDefault="009A5276"/>
    <w:p w:rsidR="009A5276" w:rsidRDefault="009A5276"/>
    <w:p w:rsidR="00553067" w:rsidRDefault="00553067"/>
    <w:sectPr w:rsidR="0055306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6BBE" w:rsidRDefault="00866BBE" w:rsidP="00DE66CD">
      <w:pPr>
        <w:spacing w:after="0" w:line="240" w:lineRule="auto"/>
      </w:pPr>
      <w:r>
        <w:separator/>
      </w:r>
    </w:p>
  </w:endnote>
  <w:endnote w:type="continuationSeparator" w:id="0">
    <w:p w:rsidR="00866BBE" w:rsidRDefault="00866BBE" w:rsidP="00DE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6BBE" w:rsidRDefault="00866BBE" w:rsidP="00DE66CD">
      <w:pPr>
        <w:spacing w:after="0" w:line="240" w:lineRule="auto"/>
      </w:pPr>
      <w:r>
        <w:separator/>
      </w:r>
    </w:p>
  </w:footnote>
  <w:footnote w:type="continuationSeparator" w:id="0">
    <w:p w:rsidR="00866BBE" w:rsidRDefault="00866BBE" w:rsidP="00DE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66CD" w:rsidRDefault="00DE66CD">
    <w:pPr>
      <w:pStyle w:val="Sidhuvud"/>
    </w:pPr>
    <w:r>
      <w:t>Ver 2 2020-05-04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38"/>
    <w:rsid w:val="00023619"/>
    <w:rsid w:val="001712FE"/>
    <w:rsid w:val="001E6CAC"/>
    <w:rsid w:val="00255F4D"/>
    <w:rsid w:val="00270C38"/>
    <w:rsid w:val="00272A2C"/>
    <w:rsid w:val="003113F5"/>
    <w:rsid w:val="0037664B"/>
    <w:rsid w:val="00456C99"/>
    <w:rsid w:val="004871BC"/>
    <w:rsid w:val="004A1272"/>
    <w:rsid w:val="00553067"/>
    <w:rsid w:val="005B7555"/>
    <w:rsid w:val="00621898"/>
    <w:rsid w:val="00682D82"/>
    <w:rsid w:val="00866BBE"/>
    <w:rsid w:val="0087761C"/>
    <w:rsid w:val="0089068B"/>
    <w:rsid w:val="008B1F4F"/>
    <w:rsid w:val="008E1452"/>
    <w:rsid w:val="009A5276"/>
    <w:rsid w:val="00AE58C2"/>
    <w:rsid w:val="00C00AD5"/>
    <w:rsid w:val="00DE66CD"/>
    <w:rsid w:val="00FD1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EAF3C-1B5C-4ED4-982E-D64AED28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8B"/>
    <w:pPr>
      <w:spacing w:after="240" w:line="360" w:lineRule="auto"/>
    </w:pPr>
  </w:style>
  <w:style w:type="paragraph" w:styleId="Rubrik1">
    <w:name w:val="heading 1"/>
    <w:basedOn w:val="Normal"/>
    <w:next w:val="Normal"/>
    <w:link w:val="Rubrik1Char"/>
    <w:uiPriority w:val="9"/>
    <w:qFormat/>
    <w:rsid w:val="004A1272"/>
    <w:pPr>
      <w:keepNext/>
      <w:keepLines/>
      <w:spacing w:before="240" w:after="0"/>
      <w:outlineLvl w:val="0"/>
    </w:pPr>
    <w:rPr>
      <w:rFonts w:ascii="Arial" w:eastAsiaTheme="majorEastAsia" w:hAnsi="Arial" w:cstheme="majorBidi"/>
      <w:b/>
      <w:color w:val="000000" w:themeColor="text1"/>
      <w:sz w:val="32"/>
      <w:szCs w:val="32"/>
    </w:rPr>
  </w:style>
  <w:style w:type="paragraph" w:styleId="Rubrik2">
    <w:name w:val="heading 2"/>
    <w:basedOn w:val="Normal"/>
    <w:next w:val="Normal"/>
    <w:link w:val="Rubrik2Char"/>
    <w:uiPriority w:val="9"/>
    <w:unhideWhenUsed/>
    <w:qFormat/>
    <w:rsid w:val="008B1F4F"/>
    <w:pPr>
      <w:keepNext/>
      <w:keepLines/>
      <w:spacing w:before="240" w:after="0"/>
      <w:outlineLvl w:val="1"/>
    </w:pPr>
    <w:rPr>
      <w:rFonts w:ascii="Arial" w:eastAsiaTheme="majorEastAsia" w:hAnsi="Arial" w:cstheme="majorBidi"/>
      <w:b/>
      <w:i/>
      <w:color w:val="000000" w:themeColor="text1"/>
      <w:sz w:val="24"/>
      <w:szCs w:val="26"/>
    </w:rPr>
  </w:style>
  <w:style w:type="paragraph" w:styleId="Rubrik3">
    <w:name w:val="heading 3"/>
    <w:basedOn w:val="Normal"/>
    <w:next w:val="Normal"/>
    <w:link w:val="Rubrik3Char"/>
    <w:uiPriority w:val="9"/>
    <w:unhideWhenUsed/>
    <w:qFormat/>
    <w:rsid w:val="0089068B"/>
    <w:pPr>
      <w:keepNext/>
      <w:keepLines/>
      <w:spacing w:before="40" w:after="0"/>
      <w:outlineLvl w:val="2"/>
    </w:pPr>
    <w:rPr>
      <w:rFonts w:eastAsiaTheme="majorEastAsia" w:cstheme="majorBidi"/>
      <w:i/>
      <w:color w:val="000000" w:themeColor="tex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msonormal">
    <w:name w:val="x_msonormal"/>
    <w:basedOn w:val="Normal"/>
    <w:rsid w:val="00AE58C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4A1272"/>
    <w:rPr>
      <w:rFonts w:ascii="Arial" w:eastAsiaTheme="majorEastAsia" w:hAnsi="Arial" w:cstheme="majorBidi"/>
      <w:b/>
      <w:color w:val="000000" w:themeColor="text1"/>
      <w:sz w:val="32"/>
      <w:szCs w:val="32"/>
    </w:rPr>
  </w:style>
  <w:style w:type="character" w:customStyle="1" w:styleId="Rubrik2Char">
    <w:name w:val="Rubrik 2 Char"/>
    <w:basedOn w:val="Standardstycketeckensnitt"/>
    <w:link w:val="Rubrik2"/>
    <w:uiPriority w:val="9"/>
    <w:rsid w:val="008B1F4F"/>
    <w:rPr>
      <w:rFonts w:ascii="Arial" w:eastAsiaTheme="majorEastAsia" w:hAnsi="Arial" w:cstheme="majorBidi"/>
      <w:b/>
      <w:i/>
      <w:color w:val="000000" w:themeColor="text1"/>
      <w:sz w:val="24"/>
      <w:szCs w:val="26"/>
    </w:rPr>
  </w:style>
  <w:style w:type="character" w:customStyle="1" w:styleId="Rubrik3Char">
    <w:name w:val="Rubrik 3 Char"/>
    <w:basedOn w:val="Standardstycketeckensnitt"/>
    <w:link w:val="Rubrik3"/>
    <w:uiPriority w:val="9"/>
    <w:rsid w:val="0089068B"/>
    <w:rPr>
      <w:rFonts w:ascii="Times New Roman" w:eastAsiaTheme="majorEastAsia" w:hAnsi="Times New Roman" w:cstheme="majorBidi"/>
      <w:i/>
      <w:color w:val="000000" w:themeColor="text1"/>
      <w:sz w:val="24"/>
      <w:szCs w:val="24"/>
    </w:rPr>
  </w:style>
  <w:style w:type="paragraph" w:styleId="Ballongtext">
    <w:name w:val="Balloon Text"/>
    <w:basedOn w:val="Normal"/>
    <w:link w:val="BallongtextChar"/>
    <w:uiPriority w:val="99"/>
    <w:semiHidden/>
    <w:unhideWhenUsed/>
    <w:rsid w:val="00DE66C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E66CD"/>
    <w:rPr>
      <w:rFonts w:ascii="Segoe UI" w:hAnsi="Segoe UI" w:cs="Segoe UI"/>
      <w:sz w:val="18"/>
      <w:szCs w:val="18"/>
    </w:rPr>
  </w:style>
  <w:style w:type="paragraph" w:styleId="Sidhuvud">
    <w:name w:val="header"/>
    <w:basedOn w:val="Normal"/>
    <w:link w:val="SidhuvudChar"/>
    <w:uiPriority w:val="99"/>
    <w:unhideWhenUsed/>
    <w:rsid w:val="00DE66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66CD"/>
  </w:style>
  <w:style w:type="paragraph" w:styleId="Sidfot">
    <w:name w:val="footer"/>
    <w:basedOn w:val="Normal"/>
    <w:link w:val="SidfotChar"/>
    <w:uiPriority w:val="99"/>
    <w:unhideWhenUsed/>
    <w:rsid w:val="00DE66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66CD"/>
  </w:style>
  <w:style w:type="table" w:styleId="Tabellrutnt">
    <w:name w:val="Table Grid"/>
    <w:basedOn w:val="Normaltabell"/>
    <w:uiPriority w:val="39"/>
    <w:rsid w:val="005B7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247642">
      <w:bodyDiv w:val="1"/>
      <w:marLeft w:val="0"/>
      <w:marRight w:val="0"/>
      <w:marTop w:val="0"/>
      <w:marBottom w:val="0"/>
      <w:divBdr>
        <w:top w:val="none" w:sz="0" w:space="0" w:color="auto"/>
        <w:left w:val="none" w:sz="0" w:space="0" w:color="auto"/>
        <w:bottom w:val="none" w:sz="0" w:space="0" w:color="auto"/>
        <w:right w:val="none" w:sz="0" w:space="0" w:color="auto"/>
      </w:divBdr>
      <w:divsChild>
        <w:div w:id="445976162">
          <w:marLeft w:val="0"/>
          <w:marRight w:val="0"/>
          <w:marTop w:val="0"/>
          <w:marBottom w:val="0"/>
          <w:divBdr>
            <w:top w:val="none" w:sz="0" w:space="0" w:color="auto"/>
            <w:left w:val="none" w:sz="0" w:space="0" w:color="auto"/>
            <w:bottom w:val="none" w:sz="0" w:space="0" w:color="auto"/>
            <w:right w:val="none" w:sz="0" w:space="0" w:color="auto"/>
          </w:divBdr>
        </w:div>
        <w:div w:id="1115246359">
          <w:marLeft w:val="0"/>
          <w:marRight w:val="0"/>
          <w:marTop w:val="0"/>
          <w:marBottom w:val="0"/>
          <w:divBdr>
            <w:top w:val="none" w:sz="0" w:space="0" w:color="auto"/>
            <w:left w:val="none" w:sz="0" w:space="0" w:color="auto"/>
            <w:bottom w:val="none" w:sz="0" w:space="0" w:color="auto"/>
            <w:right w:val="none" w:sz="0" w:space="0" w:color="auto"/>
          </w:divBdr>
        </w:div>
        <w:div w:id="1446776878">
          <w:marLeft w:val="0"/>
          <w:marRight w:val="0"/>
          <w:marTop w:val="0"/>
          <w:marBottom w:val="0"/>
          <w:divBdr>
            <w:top w:val="none" w:sz="0" w:space="0" w:color="auto"/>
            <w:left w:val="none" w:sz="0" w:space="0" w:color="auto"/>
            <w:bottom w:val="none" w:sz="0" w:space="0" w:color="auto"/>
            <w:right w:val="none" w:sz="0" w:space="0" w:color="auto"/>
          </w:divBdr>
        </w:div>
        <w:div w:id="812714799">
          <w:marLeft w:val="0"/>
          <w:marRight w:val="0"/>
          <w:marTop w:val="0"/>
          <w:marBottom w:val="0"/>
          <w:divBdr>
            <w:top w:val="none" w:sz="0" w:space="0" w:color="auto"/>
            <w:left w:val="none" w:sz="0" w:space="0" w:color="auto"/>
            <w:bottom w:val="none" w:sz="0" w:space="0" w:color="auto"/>
            <w:right w:val="none" w:sz="0" w:space="0" w:color="auto"/>
          </w:divBdr>
          <w:divsChild>
            <w:div w:id="1287732641">
              <w:marLeft w:val="0"/>
              <w:marRight w:val="0"/>
              <w:marTop w:val="0"/>
              <w:marBottom w:val="0"/>
              <w:divBdr>
                <w:top w:val="none" w:sz="0" w:space="0" w:color="auto"/>
                <w:left w:val="none" w:sz="0" w:space="0" w:color="auto"/>
                <w:bottom w:val="none" w:sz="0" w:space="0" w:color="auto"/>
                <w:right w:val="none" w:sz="0" w:space="0" w:color="auto"/>
              </w:divBdr>
            </w:div>
            <w:div w:id="1647200455">
              <w:marLeft w:val="0"/>
              <w:marRight w:val="0"/>
              <w:marTop w:val="0"/>
              <w:marBottom w:val="0"/>
              <w:divBdr>
                <w:top w:val="none" w:sz="0" w:space="0" w:color="auto"/>
                <w:left w:val="none" w:sz="0" w:space="0" w:color="auto"/>
                <w:bottom w:val="none" w:sz="0" w:space="0" w:color="auto"/>
                <w:right w:val="none" w:sz="0" w:space="0" w:color="auto"/>
              </w:divBdr>
            </w:div>
            <w:div w:id="5181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1ACF-D613-7D49-964F-BAF713A4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Lunds universitet</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Bodelsson</dc:creator>
  <cp:keywords/>
  <dc:description/>
  <cp:lastModifiedBy>Roman Aroch</cp:lastModifiedBy>
  <cp:revision>2</cp:revision>
  <dcterms:created xsi:type="dcterms:W3CDTF">2020-05-07T09:38:00Z</dcterms:created>
  <dcterms:modified xsi:type="dcterms:W3CDTF">2020-05-07T09:38:00Z</dcterms:modified>
</cp:coreProperties>
</file>